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05" w:type="dxa"/>
        <w:jc w:val="right"/>
        <w:tblCellSpacing w:w="15" w:type="dxa"/>
        <w:tblInd w:w="-405" w:type="dxa"/>
        <w:tblCellMar>
          <w:top w:w="15" w:type="dxa"/>
          <w:left w:w="15" w:type="dxa"/>
          <w:bottom w:w="15" w:type="dxa"/>
          <w:right w:w="15" w:type="dxa"/>
        </w:tblCellMar>
        <w:tblLook w:val="0000" w:firstRow="0" w:lastRow="0" w:firstColumn="0" w:lastColumn="0" w:noHBand="0" w:noVBand="0"/>
      </w:tblPr>
      <w:tblGrid>
        <w:gridCol w:w="1980"/>
        <w:gridCol w:w="7425"/>
      </w:tblGrid>
      <w:tr w:rsidR="00967F30" w:rsidRPr="00227DDB">
        <w:trPr>
          <w:tblCellSpacing w:w="15" w:type="dxa"/>
          <w:jc w:val="right"/>
        </w:trPr>
        <w:tc>
          <w:tcPr>
            <w:tcW w:w="1935" w:type="dxa"/>
            <w:vAlign w:val="center"/>
          </w:tcPr>
          <w:p w:rsidR="00967F30" w:rsidRPr="00512CBD" w:rsidRDefault="00BB6726" w:rsidP="00967F30">
            <w:pPr>
              <w:rPr>
                <w:b/>
                <w:kern w:val="16"/>
                <w:sz w:val="22"/>
                <w:szCs w:val="22"/>
              </w:rPr>
            </w:pPr>
            <w:r>
              <w:rPr>
                <w:b/>
                <w:noProof/>
                <w:kern w:val="16"/>
                <w:sz w:val="22"/>
                <w:szCs w:val="22"/>
              </w:rPr>
              <w:drawing>
                <wp:inline distT="0" distB="0" distL="0" distR="0">
                  <wp:extent cx="907415" cy="1069340"/>
                  <wp:effectExtent l="0" t="0" r="6985"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7415" cy="1069340"/>
                          </a:xfrm>
                          <a:prstGeom prst="rect">
                            <a:avLst/>
                          </a:prstGeom>
                          <a:noFill/>
                          <a:ln>
                            <a:noFill/>
                          </a:ln>
                        </pic:spPr>
                      </pic:pic>
                    </a:graphicData>
                  </a:graphic>
                </wp:inline>
              </w:drawing>
            </w:r>
          </w:p>
          <w:p w:rsidR="00967F30" w:rsidRPr="00512CBD" w:rsidRDefault="00967F30" w:rsidP="00967F30">
            <w:pPr>
              <w:rPr>
                <w:b/>
                <w:kern w:val="16"/>
                <w:sz w:val="22"/>
                <w:szCs w:val="22"/>
              </w:rPr>
            </w:pPr>
          </w:p>
          <w:p w:rsidR="00967F30" w:rsidRPr="00512CBD" w:rsidRDefault="00967F30" w:rsidP="00967F30">
            <w:pPr>
              <w:rPr>
                <w:rFonts w:eastAsia="Arial Unicode MS"/>
                <w:b/>
                <w:color w:val="000000"/>
                <w:kern w:val="16"/>
                <w:sz w:val="22"/>
                <w:szCs w:val="22"/>
              </w:rPr>
            </w:pPr>
          </w:p>
        </w:tc>
        <w:tc>
          <w:tcPr>
            <w:tcW w:w="7380" w:type="dxa"/>
            <w:vAlign w:val="center"/>
          </w:tcPr>
          <w:p w:rsidR="00967F30" w:rsidRPr="00C83555" w:rsidRDefault="00967F30" w:rsidP="00967F30">
            <w:pPr>
              <w:rPr>
                <w:kern w:val="16"/>
                <w:sz w:val="22"/>
                <w:szCs w:val="22"/>
              </w:rPr>
            </w:pPr>
            <w:r w:rsidRPr="00C83555">
              <w:rPr>
                <w:kern w:val="16"/>
                <w:sz w:val="22"/>
                <w:szCs w:val="22"/>
              </w:rPr>
              <w:t xml:space="preserve">GEORGIA SOUTHERN UNIVERSITY </w:t>
            </w:r>
            <w:r w:rsidRPr="00C83555">
              <w:rPr>
                <w:kern w:val="16"/>
                <w:sz w:val="22"/>
                <w:szCs w:val="22"/>
              </w:rPr>
              <w:br/>
            </w:r>
            <w:r w:rsidRPr="00C83555">
              <w:rPr>
                <w:i/>
                <w:iCs/>
                <w:kern w:val="16"/>
                <w:sz w:val="22"/>
                <w:szCs w:val="22"/>
              </w:rPr>
              <w:t>University System of Georgia</w:t>
            </w:r>
            <w:r w:rsidRPr="00C83555">
              <w:rPr>
                <w:kern w:val="16"/>
                <w:sz w:val="22"/>
                <w:szCs w:val="22"/>
              </w:rPr>
              <w:t xml:space="preserve"> </w:t>
            </w:r>
          </w:p>
          <w:p w:rsidR="00967F30" w:rsidRPr="00C83555" w:rsidRDefault="00967F30" w:rsidP="00967F30">
            <w:pPr>
              <w:pStyle w:val="NormalWeb"/>
              <w:spacing w:before="0" w:beforeAutospacing="0" w:after="0" w:afterAutospacing="0"/>
              <w:rPr>
                <w:rFonts w:ascii="Times New Roman" w:hAnsi="Times New Roman" w:cs="Times New Roman"/>
                <w:b/>
                <w:color w:val="003366"/>
                <w:kern w:val="16"/>
                <w:sz w:val="22"/>
                <w:szCs w:val="22"/>
              </w:rPr>
            </w:pPr>
            <w:r>
              <w:rPr>
                <w:rFonts w:ascii="Times New Roman" w:hAnsi="Times New Roman" w:cs="Times New Roman"/>
                <w:b/>
                <w:color w:val="003366"/>
                <w:kern w:val="16"/>
                <w:sz w:val="22"/>
                <w:szCs w:val="22"/>
              </w:rPr>
              <w:t>Department Chair - Search #65405</w:t>
            </w:r>
          </w:p>
          <w:p w:rsidR="00967F30" w:rsidRPr="00C83555" w:rsidRDefault="00967F30" w:rsidP="00967F30">
            <w:pPr>
              <w:pStyle w:val="NormalWeb"/>
              <w:spacing w:before="0" w:beforeAutospacing="0" w:after="0" w:afterAutospacing="0"/>
              <w:rPr>
                <w:rFonts w:ascii="Times New Roman" w:hAnsi="Times New Roman" w:cs="Times New Roman"/>
                <w:b/>
                <w:color w:val="003366"/>
                <w:kern w:val="16"/>
                <w:sz w:val="22"/>
                <w:szCs w:val="22"/>
              </w:rPr>
            </w:pPr>
            <w:r>
              <w:rPr>
                <w:rFonts w:ascii="Times New Roman" w:hAnsi="Times New Roman" w:cs="Times New Roman"/>
                <w:b/>
                <w:color w:val="003366"/>
                <w:kern w:val="16"/>
                <w:sz w:val="22"/>
                <w:szCs w:val="22"/>
              </w:rPr>
              <w:t>College of Education / Curriculum, Foundations, and Reading</w:t>
            </w:r>
          </w:p>
          <w:p w:rsidR="00967F30" w:rsidRPr="00227DDB" w:rsidRDefault="00967F30" w:rsidP="00967F30">
            <w:pPr>
              <w:pStyle w:val="NormalWeb"/>
              <w:spacing w:before="0" w:beforeAutospacing="0" w:after="0" w:afterAutospacing="0"/>
              <w:rPr>
                <w:rFonts w:ascii="Times New Roman" w:hAnsi="Times New Roman" w:cs="Times New Roman"/>
                <w:kern w:val="16"/>
                <w:sz w:val="22"/>
                <w:szCs w:val="22"/>
              </w:rPr>
            </w:pPr>
          </w:p>
        </w:tc>
      </w:tr>
    </w:tbl>
    <w:p w:rsidR="00967F30" w:rsidRPr="0054287A" w:rsidRDefault="00967F30" w:rsidP="00967F30">
      <w:pPr>
        <w:pStyle w:val="NormalWeb"/>
        <w:spacing w:before="0" w:beforeAutospacing="0" w:after="0" w:afterAutospacing="0"/>
        <w:rPr>
          <w:rFonts w:ascii="Times New Roman" w:hAnsi="Times New Roman" w:cs="Times New Roman"/>
          <w:color w:val="auto"/>
          <w:kern w:val="16"/>
          <w:sz w:val="22"/>
          <w:szCs w:val="22"/>
        </w:rPr>
      </w:pPr>
      <w:r w:rsidRPr="00C83555">
        <w:rPr>
          <w:rFonts w:ascii="Times New Roman" w:hAnsi="Times New Roman" w:cs="Times New Roman"/>
          <w:color w:val="auto"/>
          <w:kern w:val="16"/>
          <w:sz w:val="22"/>
          <w:szCs w:val="22"/>
        </w:rPr>
        <w:t xml:space="preserve">Georgia Southern University invites nominations and applications for the position of </w:t>
      </w:r>
      <w:r>
        <w:rPr>
          <w:rFonts w:ascii="Times New Roman" w:hAnsi="Times New Roman" w:cs="Times New Roman"/>
          <w:color w:val="auto"/>
          <w:kern w:val="16"/>
          <w:sz w:val="22"/>
          <w:szCs w:val="22"/>
        </w:rPr>
        <w:t xml:space="preserve">Department Chair </w:t>
      </w:r>
      <w:r w:rsidRPr="00C83555">
        <w:rPr>
          <w:rFonts w:ascii="Times New Roman" w:hAnsi="Times New Roman" w:cs="Times New Roman"/>
          <w:color w:val="auto"/>
          <w:kern w:val="16"/>
          <w:sz w:val="22"/>
          <w:szCs w:val="22"/>
        </w:rPr>
        <w:t xml:space="preserve">in the </w:t>
      </w:r>
      <w:r>
        <w:rPr>
          <w:rFonts w:ascii="Times New Roman" w:hAnsi="Times New Roman" w:cs="Times New Roman"/>
          <w:color w:val="auto"/>
          <w:kern w:val="16"/>
          <w:sz w:val="22"/>
          <w:szCs w:val="22"/>
        </w:rPr>
        <w:t>Department of Curriculum, Foundations, and Reading</w:t>
      </w:r>
      <w:r w:rsidRPr="00C83555">
        <w:rPr>
          <w:rFonts w:ascii="Times New Roman" w:hAnsi="Times New Roman" w:cs="Times New Roman"/>
          <w:color w:val="auto"/>
          <w:kern w:val="16"/>
          <w:sz w:val="22"/>
          <w:szCs w:val="22"/>
        </w:rPr>
        <w:t xml:space="preserve"> in </w:t>
      </w:r>
      <w:r>
        <w:rPr>
          <w:rFonts w:ascii="Times New Roman" w:hAnsi="Times New Roman" w:cs="Times New Roman"/>
          <w:color w:val="auto"/>
          <w:kern w:val="16"/>
          <w:sz w:val="22"/>
          <w:szCs w:val="22"/>
        </w:rPr>
        <w:t>the College of Education</w:t>
      </w:r>
      <w:r w:rsidRPr="00C83555">
        <w:rPr>
          <w:rFonts w:ascii="Times New Roman" w:hAnsi="Times New Roman" w:cs="Times New Roman"/>
          <w:color w:val="auto"/>
          <w:kern w:val="16"/>
          <w:sz w:val="22"/>
          <w:szCs w:val="22"/>
        </w:rPr>
        <w:t>.</w:t>
      </w:r>
      <w:r>
        <w:rPr>
          <w:rFonts w:ascii="Times New Roman" w:hAnsi="Times New Roman" w:cs="Times New Roman"/>
          <w:color w:val="auto"/>
          <w:kern w:val="16"/>
          <w:sz w:val="22"/>
          <w:szCs w:val="22"/>
        </w:rPr>
        <w:t xml:space="preserve"> </w:t>
      </w:r>
      <w:r w:rsidRPr="00227DDB">
        <w:rPr>
          <w:rFonts w:ascii="Times New Roman" w:hAnsi="Times New Roman" w:cs="Times New Roman"/>
          <w:color w:val="auto"/>
          <w:kern w:val="16"/>
          <w:sz w:val="22"/>
          <w:szCs w:val="22"/>
        </w:rPr>
        <w:t xml:space="preserve">Georgia Southern University, a member institution of the University System of Georgia, is classified as a Doctoral/Research University. Accredited by the Commission on Colleges of the Southern Association of Colleges and Schools, Georgia Southern offers </w:t>
      </w:r>
      <w:r>
        <w:rPr>
          <w:rFonts w:ascii="Times New Roman" w:hAnsi="Times New Roman" w:cs="Times New Roman"/>
          <w:color w:val="auto"/>
          <w:kern w:val="16"/>
          <w:sz w:val="22"/>
          <w:szCs w:val="22"/>
        </w:rPr>
        <w:t>more than</w:t>
      </w:r>
      <w:r w:rsidRPr="00227DDB">
        <w:rPr>
          <w:rFonts w:ascii="Times New Roman" w:hAnsi="Times New Roman" w:cs="Times New Roman"/>
          <w:color w:val="auto"/>
          <w:kern w:val="16"/>
          <w:sz w:val="22"/>
          <w:szCs w:val="22"/>
        </w:rPr>
        <w:t xml:space="preserve"> 100 academic majors in a comprehensive array of baccalaureate degrees and selected master's and doctoral programs. The University has earned a reputation for providing all of the benefits of a major university with the feeling of a much smaller college</w:t>
      </w:r>
      <w:r>
        <w:rPr>
          <w:rFonts w:ascii="Times New Roman" w:hAnsi="Times New Roman" w:cs="Times New Roman"/>
          <w:color w:val="auto"/>
          <w:kern w:val="16"/>
          <w:sz w:val="22"/>
          <w:szCs w:val="22"/>
        </w:rPr>
        <w:t>. In 2012</w:t>
      </w:r>
      <w:r w:rsidRPr="00370CF7">
        <w:rPr>
          <w:rFonts w:ascii="Times New Roman" w:hAnsi="Times New Roman" w:cs="Times New Roman"/>
          <w:color w:val="auto"/>
          <w:kern w:val="16"/>
          <w:sz w:val="22"/>
          <w:szCs w:val="22"/>
        </w:rPr>
        <w:t xml:space="preserve">, Georgia Southern was named </w:t>
      </w:r>
      <w:r>
        <w:rPr>
          <w:rFonts w:ascii="Times New Roman" w:hAnsi="Times New Roman" w:cs="Times New Roman"/>
          <w:color w:val="auto"/>
          <w:kern w:val="16"/>
          <w:sz w:val="22"/>
          <w:szCs w:val="22"/>
        </w:rPr>
        <w:t>one of the top 10 most popular universities</w:t>
      </w:r>
      <w:r w:rsidRPr="00370CF7">
        <w:rPr>
          <w:rFonts w:ascii="Times New Roman" w:hAnsi="Times New Roman" w:cs="Times New Roman"/>
          <w:color w:val="auto"/>
          <w:kern w:val="16"/>
          <w:sz w:val="22"/>
          <w:szCs w:val="22"/>
        </w:rPr>
        <w:t xml:space="preserve"> in the country in</w:t>
      </w:r>
      <w:r>
        <w:rPr>
          <w:rFonts w:ascii="Times New Roman" w:hAnsi="Times New Roman" w:cs="Times New Roman"/>
          <w:color w:val="auto"/>
          <w:kern w:val="16"/>
          <w:sz w:val="22"/>
          <w:szCs w:val="22"/>
        </w:rPr>
        <w:t xml:space="preserve"> the </w:t>
      </w:r>
      <w:r w:rsidRPr="00655455">
        <w:rPr>
          <w:rFonts w:ascii="Times New Roman" w:hAnsi="Times New Roman" w:cs="Times New Roman"/>
          <w:i/>
          <w:color w:val="auto"/>
          <w:kern w:val="16"/>
          <w:sz w:val="22"/>
          <w:szCs w:val="22"/>
        </w:rPr>
        <w:t>U.S. News &amp; World</w:t>
      </w:r>
      <w:r>
        <w:rPr>
          <w:rFonts w:ascii="Times New Roman" w:hAnsi="Times New Roman" w:cs="Times New Roman"/>
          <w:i/>
          <w:color w:val="auto"/>
          <w:kern w:val="16"/>
          <w:sz w:val="22"/>
          <w:szCs w:val="22"/>
        </w:rPr>
        <w:t xml:space="preserve"> Report</w:t>
      </w:r>
      <w:r w:rsidRPr="00370CF7">
        <w:rPr>
          <w:rFonts w:ascii="Times New Roman" w:hAnsi="Times New Roman" w:cs="Times New Roman"/>
          <w:color w:val="auto"/>
          <w:kern w:val="16"/>
          <w:sz w:val="22"/>
          <w:szCs w:val="22"/>
        </w:rPr>
        <w:t>.</w:t>
      </w:r>
      <w:r>
        <w:rPr>
          <w:rFonts w:ascii="Times New Roman" w:hAnsi="Times New Roman" w:cs="Times New Roman"/>
          <w:color w:val="auto"/>
          <w:kern w:val="16"/>
          <w:sz w:val="22"/>
          <w:szCs w:val="22"/>
        </w:rPr>
        <w:t xml:space="preserve"> </w:t>
      </w:r>
      <w:r w:rsidRPr="00227DDB">
        <w:rPr>
          <w:rFonts w:ascii="Times New Roman" w:hAnsi="Times New Roman" w:cs="Times New Roman"/>
          <w:color w:val="auto"/>
          <w:kern w:val="16"/>
          <w:sz w:val="22"/>
          <w:szCs w:val="22"/>
        </w:rPr>
        <w:t>Academic programs are organized</w:t>
      </w:r>
      <w:r>
        <w:rPr>
          <w:rFonts w:ascii="Times New Roman" w:hAnsi="Times New Roman" w:cs="Times New Roman"/>
          <w:color w:val="auto"/>
          <w:kern w:val="16"/>
          <w:sz w:val="22"/>
          <w:szCs w:val="22"/>
        </w:rPr>
        <w:t xml:space="preserve"> with</w:t>
      </w:r>
      <w:r w:rsidRPr="00227DDB">
        <w:rPr>
          <w:rFonts w:ascii="Times New Roman" w:hAnsi="Times New Roman" w:cs="Times New Roman"/>
          <w:color w:val="auto"/>
          <w:kern w:val="16"/>
          <w:sz w:val="22"/>
          <w:szCs w:val="22"/>
        </w:rPr>
        <w:t xml:space="preserve">in </w:t>
      </w:r>
      <w:r>
        <w:rPr>
          <w:rFonts w:ascii="Times New Roman" w:hAnsi="Times New Roman" w:cs="Times New Roman"/>
          <w:color w:val="auto"/>
          <w:kern w:val="16"/>
          <w:sz w:val="22"/>
          <w:szCs w:val="22"/>
        </w:rPr>
        <w:t xml:space="preserve">eight </w:t>
      </w:r>
      <w:r w:rsidRPr="00227DDB">
        <w:rPr>
          <w:rFonts w:ascii="Times New Roman" w:hAnsi="Times New Roman" w:cs="Times New Roman"/>
          <w:color w:val="auto"/>
          <w:kern w:val="16"/>
          <w:sz w:val="22"/>
          <w:szCs w:val="22"/>
        </w:rPr>
        <w:t xml:space="preserve">colleges: Business Administration, Education, Health and Human Sciences, </w:t>
      </w:r>
      <w:r>
        <w:rPr>
          <w:rFonts w:ascii="Times New Roman" w:hAnsi="Times New Roman" w:cs="Times New Roman"/>
          <w:color w:val="auto"/>
          <w:kern w:val="16"/>
          <w:sz w:val="22"/>
          <w:szCs w:val="22"/>
        </w:rPr>
        <w:t xml:space="preserve">the Allen E. Paulson College of Engineering and </w:t>
      </w:r>
      <w:r w:rsidRPr="00227DDB">
        <w:rPr>
          <w:rFonts w:ascii="Times New Roman" w:hAnsi="Times New Roman" w:cs="Times New Roman"/>
          <w:color w:val="auto"/>
          <w:kern w:val="16"/>
          <w:sz w:val="22"/>
          <w:szCs w:val="22"/>
        </w:rPr>
        <w:t xml:space="preserve">Information Technology, Liberal Arts and Social Sciences, the </w:t>
      </w:r>
      <w:proofErr w:type="spellStart"/>
      <w:r w:rsidRPr="00227DDB">
        <w:rPr>
          <w:rFonts w:ascii="Times New Roman" w:hAnsi="Times New Roman" w:cs="Times New Roman"/>
          <w:color w:val="auto"/>
          <w:kern w:val="16"/>
          <w:sz w:val="22"/>
          <w:szCs w:val="22"/>
        </w:rPr>
        <w:t>Jiann</w:t>
      </w:r>
      <w:proofErr w:type="spellEnd"/>
      <w:r w:rsidRPr="00227DDB">
        <w:rPr>
          <w:rFonts w:ascii="Times New Roman" w:hAnsi="Times New Roman" w:cs="Times New Roman"/>
          <w:color w:val="auto"/>
          <w:kern w:val="16"/>
          <w:sz w:val="22"/>
          <w:szCs w:val="22"/>
        </w:rPr>
        <w:t xml:space="preserve">-Ping Hsu College of Public Health, </w:t>
      </w:r>
      <w:r w:rsidRPr="0054287A">
        <w:rPr>
          <w:rFonts w:ascii="Times New Roman" w:hAnsi="Times New Roman" w:cs="Times New Roman"/>
          <w:color w:val="auto"/>
          <w:kern w:val="16"/>
          <w:sz w:val="22"/>
          <w:szCs w:val="22"/>
        </w:rPr>
        <w:t xml:space="preserve">Science and </w:t>
      </w:r>
      <w:r>
        <w:rPr>
          <w:rFonts w:ascii="Times New Roman" w:hAnsi="Times New Roman" w:cs="Times New Roman"/>
          <w:color w:val="auto"/>
          <w:kern w:val="16"/>
          <w:sz w:val="22"/>
          <w:szCs w:val="22"/>
        </w:rPr>
        <w:t>Mathematics</w:t>
      </w:r>
      <w:r w:rsidRPr="0054287A">
        <w:rPr>
          <w:rFonts w:ascii="Times New Roman" w:hAnsi="Times New Roman" w:cs="Times New Roman"/>
          <w:color w:val="auto"/>
          <w:kern w:val="16"/>
          <w:sz w:val="22"/>
          <w:szCs w:val="22"/>
        </w:rPr>
        <w:t xml:space="preserve">, and the Jack N. Averitt College of Graduate Studies. </w:t>
      </w:r>
      <w:r>
        <w:rPr>
          <w:rFonts w:ascii="Times New Roman" w:hAnsi="Times New Roman" w:cs="Times New Roman"/>
          <w:color w:val="auto"/>
          <w:kern w:val="16"/>
          <w:sz w:val="22"/>
          <w:szCs w:val="22"/>
        </w:rPr>
        <w:t xml:space="preserve">  </w:t>
      </w:r>
    </w:p>
    <w:p w:rsidR="00967F30" w:rsidRPr="0054287A" w:rsidRDefault="00967F30" w:rsidP="00967F30">
      <w:pPr>
        <w:pStyle w:val="NormalWeb"/>
        <w:spacing w:before="0" w:beforeAutospacing="0" w:after="0" w:afterAutospacing="0"/>
        <w:rPr>
          <w:rFonts w:ascii="Times New Roman" w:hAnsi="Times New Roman" w:cs="Times New Roman"/>
          <w:color w:val="auto"/>
          <w:kern w:val="16"/>
          <w:sz w:val="22"/>
          <w:szCs w:val="22"/>
        </w:rPr>
      </w:pPr>
    </w:p>
    <w:p w:rsidR="00967F30" w:rsidRPr="0054287A" w:rsidRDefault="00967F30" w:rsidP="00967F30">
      <w:pPr>
        <w:pStyle w:val="NormalWeb"/>
        <w:spacing w:before="0" w:beforeAutospacing="0" w:after="0" w:afterAutospacing="0"/>
        <w:rPr>
          <w:rFonts w:ascii="Times New Roman" w:hAnsi="Times New Roman" w:cs="Times New Roman"/>
          <w:color w:val="auto"/>
          <w:kern w:val="16"/>
          <w:sz w:val="22"/>
          <w:szCs w:val="22"/>
        </w:rPr>
      </w:pPr>
      <w:r w:rsidRPr="0054287A">
        <w:rPr>
          <w:rFonts w:ascii="Times New Roman" w:hAnsi="Times New Roman" w:cs="Times New Roman"/>
          <w:color w:val="auto"/>
          <w:kern w:val="16"/>
          <w:sz w:val="22"/>
          <w:szCs w:val="22"/>
        </w:rPr>
        <w:t xml:space="preserve">A residential university </w:t>
      </w:r>
      <w:r w:rsidRPr="00370CF7">
        <w:rPr>
          <w:rFonts w:ascii="Times New Roman" w:hAnsi="Times New Roman" w:cs="Times New Roman"/>
          <w:color w:val="auto"/>
          <w:kern w:val="16"/>
          <w:sz w:val="22"/>
          <w:szCs w:val="22"/>
        </w:rPr>
        <w:t xml:space="preserve">with a fall </w:t>
      </w:r>
      <w:r>
        <w:rPr>
          <w:rFonts w:ascii="Times New Roman" w:hAnsi="Times New Roman" w:cs="Times New Roman"/>
          <w:color w:val="auto"/>
          <w:kern w:val="16"/>
          <w:sz w:val="22"/>
          <w:szCs w:val="22"/>
        </w:rPr>
        <w:t>2011</w:t>
      </w:r>
      <w:r w:rsidRPr="00370CF7">
        <w:rPr>
          <w:rFonts w:ascii="Times New Roman" w:hAnsi="Times New Roman" w:cs="Times New Roman"/>
          <w:color w:val="auto"/>
          <w:kern w:val="16"/>
          <w:sz w:val="22"/>
          <w:szCs w:val="22"/>
        </w:rPr>
        <w:t xml:space="preserve"> enrollment of </w:t>
      </w:r>
      <w:r>
        <w:rPr>
          <w:rFonts w:ascii="Times New Roman" w:hAnsi="Times New Roman" w:cs="Times New Roman"/>
          <w:color w:val="auto"/>
          <w:kern w:val="16"/>
          <w:sz w:val="22"/>
          <w:szCs w:val="22"/>
        </w:rPr>
        <w:t>more than</w:t>
      </w:r>
      <w:r w:rsidRPr="00370CF7">
        <w:rPr>
          <w:rFonts w:ascii="Times New Roman" w:hAnsi="Times New Roman" w:cs="Times New Roman"/>
          <w:color w:val="auto"/>
          <w:kern w:val="16"/>
          <w:sz w:val="22"/>
          <w:szCs w:val="22"/>
        </w:rPr>
        <w:t xml:space="preserve"> 20,000 students</w:t>
      </w:r>
      <w:r w:rsidRPr="0054287A">
        <w:rPr>
          <w:rFonts w:ascii="Times New Roman" w:hAnsi="Times New Roman" w:cs="Times New Roman"/>
          <w:color w:val="auto"/>
          <w:kern w:val="16"/>
          <w:sz w:val="22"/>
          <w:szCs w:val="22"/>
        </w:rPr>
        <w:t xml:space="preserve">, Georgia Southern is one of Georgia’s premier universities. One of the top choices in Georgia for new freshmen, including HOPE Scholars, Georgia Southern enrolls an increasingly selective student body representing </w:t>
      </w:r>
      <w:r>
        <w:rPr>
          <w:rFonts w:ascii="Times New Roman" w:hAnsi="Times New Roman" w:cs="Times New Roman"/>
          <w:color w:val="auto"/>
          <w:kern w:val="16"/>
          <w:sz w:val="22"/>
          <w:szCs w:val="22"/>
        </w:rPr>
        <w:t>49 U.S. states and more than 100</w:t>
      </w:r>
      <w:r w:rsidRPr="0054287A">
        <w:rPr>
          <w:rFonts w:ascii="Times New Roman" w:hAnsi="Times New Roman" w:cs="Times New Roman"/>
          <w:color w:val="auto"/>
          <w:kern w:val="16"/>
          <w:sz w:val="22"/>
          <w:szCs w:val="22"/>
        </w:rPr>
        <w:t xml:space="preserve"> nations. The University continues to enhance its academic profile through higher admission standards, an expanded Honors Program, and scholarships for academically talented students. </w:t>
      </w:r>
    </w:p>
    <w:p w:rsidR="00967F30" w:rsidRPr="0054287A" w:rsidRDefault="00967F30" w:rsidP="00967F30">
      <w:pPr>
        <w:pStyle w:val="NormalWeb"/>
        <w:spacing w:before="0" w:beforeAutospacing="0" w:after="0" w:afterAutospacing="0"/>
        <w:rPr>
          <w:rFonts w:ascii="Times New Roman" w:hAnsi="Times New Roman" w:cs="Times New Roman"/>
          <w:color w:val="auto"/>
          <w:kern w:val="16"/>
          <w:sz w:val="22"/>
          <w:szCs w:val="22"/>
        </w:rPr>
      </w:pPr>
    </w:p>
    <w:p w:rsidR="00967F30" w:rsidRPr="0054287A" w:rsidRDefault="00967F30" w:rsidP="00967F30">
      <w:pPr>
        <w:pStyle w:val="NormalWeb"/>
        <w:spacing w:before="0" w:beforeAutospacing="0" w:after="0" w:afterAutospacing="0"/>
        <w:rPr>
          <w:rFonts w:ascii="Times New Roman" w:hAnsi="Times New Roman" w:cs="Times New Roman"/>
          <w:color w:val="auto"/>
          <w:kern w:val="16"/>
          <w:sz w:val="22"/>
          <w:szCs w:val="22"/>
        </w:rPr>
      </w:pPr>
      <w:r w:rsidRPr="0054287A">
        <w:rPr>
          <w:rFonts w:ascii="Times New Roman" w:hAnsi="Times New Roman" w:cs="Times New Roman"/>
          <w:color w:val="auto"/>
          <w:kern w:val="16"/>
          <w:sz w:val="22"/>
          <w:szCs w:val="22"/>
        </w:rPr>
        <w:t xml:space="preserve">Georgia Southern University is committed to advancing the State of Georgia and the region through the benefits of higher education, offering both campus-based and a number of online degree programs. The University fosters access to its educational programs, provides a comprehensive and fulfilling university experience, and enhances quality of life in the region through collaborative relationships supporting education, health care and human services, cultural experiences, scientific and technological advancement, athletics, and regional development. </w:t>
      </w:r>
    </w:p>
    <w:p w:rsidR="00967F30" w:rsidRPr="0054287A" w:rsidRDefault="00967F30" w:rsidP="00967F30">
      <w:pPr>
        <w:pStyle w:val="NormalWeb"/>
        <w:spacing w:before="0" w:beforeAutospacing="0" w:after="0" w:afterAutospacing="0"/>
        <w:rPr>
          <w:rFonts w:ascii="Times New Roman" w:hAnsi="Times New Roman" w:cs="Times New Roman"/>
          <w:color w:val="auto"/>
          <w:kern w:val="16"/>
          <w:sz w:val="22"/>
          <w:szCs w:val="22"/>
        </w:rPr>
      </w:pPr>
    </w:p>
    <w:p w:rsidR="00967F30" w:rsidRPr="0054287A" w:rsidRDefault="00967F30" w:rsidP="00967F30">
      <w:pPr>
        <w:pStyle w:val="NormalWeb"/>
        <w:spacing w:before="0" w:beforeAutospacing="0" w:after="0" w:afterAutospacing="0"/>
        <w:rPr>
          <w:rFonts w:ascii="Times New Roman" w:hAnsi="Times New Roman" w:cs="Times New Roman"/>
          <w:color w:val="auto"/>
          <w:kern w:val="16"/>
          <w:sz w:val="22"/>
          <w:szCs w:val="22"/>
        </w:rPr>
      </w:pPr>
      <w:r w:rsidRPr="0054287A">
        <w:rPr>
          <w:rFonts w:ascii="Times New Roman" w:hAnsi="Times New Roman" w:cs="Times New Roman"/>
          <w:color w:val="auto"/>
          <w:kern w:val="16"/>
          <w:sz w:val="22"/>
          <w:szCs w:val="22"/>
        </w:rPr>
        <w:t xml:space="preserve">The </w:t>
      </w:r>
      <w:r>
        <w:rPr>
          <w:rFonts w:ascii="Times New Roman" w:hAnsi="Times New Roman" w:cs="Times New Roman"/>
          <w:color w:val="auto"/>
          <w:kern w:val="16"/>
          <w:sz w:val="22"/>
          <w:szCs w:val="22"/>
        </w:rPr>
        <w:t>more than</w:t>
      </w:r>
      <w:r w:rsidRPr="0054287A">
        <w:rPr>
          <w:rFonts w:ascii="Times New Roman" w:hAnsi="Times New Roman" w:cs="Times New Roman"/>
          <w:color w:val="auto"/>
          <w:kern w:val="16"/>
          <w:sz w:val="22"/>
          <w:szCs w:val="22"/>
        </w:rPr>
        <w:t xml:space="preserve"> 700 acre park-like campus continues an era of capital construction that has opened new facilities for colleges and academic programs, student recreation and development, university housing, athletics, and public service. The learning environment is enhanced by a museum of cultural and natural history, a botanical garden, a unique wildlife education and raptor center, a performing arts center, the Center for Art and Theatre, and a continuing education and conference center. The University's Division I athletic teams</w:t>
      </w:r>
      <w:r>
        <w:rPr>
          <w:rFonts w:ascii="Times New Roman" w:hAnsi="Times New Roman" w:cs="Times New Roman"/>
          <w:color w:val="auto"/>
          <w:kern w:val="16"/>
          <w:sz w:val="22"/>
          <w:szCs w:val="22"/>
        </w:rPr>
        <w:t>, the Eagles,</w:t>
      </w:r>
      <w:r w:rsidRPr="0054287A">
        <w:rPr>
          <w:rFonts w:ascii="Times New Roman" w:hAnsi="Times New Roman" w:cs="Times New Roman"/>
          <w:color w:val="auto"/>
          <w:kern w:val="16"/>
          <w:sz w:val="22"/>
          <w:szCs w:val="22"/>
        </w:rPr>
        <w:t xml:space="preserve"> compete in the Southern Conference. The campus is located in Statesboro, a classic Main Street community near historic Savannah and Hilton Head Island. </w:t>
      </w:r>
    </w:p>
    <w:p w:rsidR="00967F30" w:rsidRPr="0054287A" w:rsidRDefault="00967F30" w:rsidP="00967F30">
      <w:pPr>
        <w:pStyle w:val="NormalWeb"/>
        <w:spacing w:before="0" w:beforeAutospacing="0" w:after="0" w:afterAutospacing="0"/>
        <w:rPr>
          <w:rFonts w:ascii="Times New Roman" w:hAnsi="Times New Roman" w:cs="Times New Roman"/>
          <w:color w:val="auto"/>
          <w:kern w:val="16"/>
          <w:sz w:val="22"/>
          <w:szCs w:val="22"/>
        </w:rPr>
      </w:pPr>
    </w:p>
    <w:p w:rsidR="00967F30" w:rsidRPr="00EF7516" w:rsidRDefault="00967F30" w:rsidP="00967F30">
      <w:pPr>
        <w:pStyle w:val="Default"/>
      </w:pPr>
      <w:r w:rsidRPr="00C83555">
        <w:rPr>
          <w:sz w:val="22"/>
          <w:szCs w:val="22"/>
        </w:rPr>
        <w:t xml:space="preserve">Within this setting, </w:t>
      </w:r>
      <w:r>
        <w:rPr>
          <w:sz w:val="22"/>
          <w:szCs w:val="22"/>
        </w:rPr>
        <w:t xml:space="preserve">the Department of Curriculum, Foundations, and Reading, one of three departments within the College of Education, includes 25 faculty members in five areas:  curriculum studies, educational foundations, educational psychology, educational research, and literacy studies/reading education.  The Department offers undergraduate and graduate level courses and three graduate programs, including a master’s degree and educational specialist degree in reading education, and a doctoral degree program in curriculum studies.  Courses are offered in a variety of instructional formats, including traditional, hybrid, and fully online.  </w:t>
      </w:r>
    </w:p>
    <w:p w:rsidR="00967F30" w:rsidRDefault="00967F30" w:rsidP="00967F30">
      <w:pPr>
        <w:rPr>
          <w:sz w:val="22"/>
          <w:szCs w:val="22"/>
        </w:rPr>
      </w:pPr>
    </w:p>
    <w:p w:rsidR="00967F30" w:rsidRPr="00C83555" w:rsidRDefault="00967F30" w:rsidP="00967F30">
      <w:pPr>
        <w:rPr>
          <w:sz w:val="22"/>
          <w:szCs w:val="22"/>
        </w:rPr>
      </w:pPr>
      <w:r>
        <w:rPr>
          <w:sz w:val="22"/>
          <w:szCs w:val="22"/>
        </w:rPr>
        <w:lastRenderedPageBreak/>
        <w:t>The Department Chair provides leadership for the department in support of the mission of the college.  The College of Education has adopted “Reflective Educators for Diverse Learners” as the theme for its conceptual framework and frames its professional work on commitment to the following:  knowledge and dispositions of the profession, diversity, technology, and practice of continuous reflection and assessment.</w:t>
      </w:r>
    </w:p>
    <w:p w:rsidR="00967F30" w:rsidRPr="00C83555" w:rsidRDefault="00967F30" w:rsidP="00967F30">
      <w:pPr>
        <w:rPr>
          <w:sz w:val="22"/>
          <w:szCs w:val="22"/>
          <w:u w:val="single"/>
        </w:rPr>
      </w:pPr>
    </w:p>
    <w:p w:rsidR="00967F30" w:rsidRPr="00C83555" w:rsidRDefault="00967F30" w:rsidP="00967F30">
      <w:pPr>
        <w:rPr>
          <w:sz w:val="22"/>
          <w:szCs w:val="22"/>
        </w:rPr>
      </w:pPr>
      <w:proofErr w:type="gramStart"/>
      <w:r w:rsidRPr="00C83555">
        <w:rPr>
          <w:sz w:val="22"/>
          <w:szCs w:val="22"/>
          <w:u w:val="single"/>
        </w:rPr>
        <w:t>Position Description</w:t>
      </w:r>
      <w:r w:rsidRPr="00C83555">
        <w:rPr>
          <w:sz w:val="22"/>
          <w:szCs w:val="22"/>
        </w:rPr>
        <w:t>.</w:t>
      </w:r>
      <w:proofErr w:type="gramEnd"/>
      <w:r w:rsidRPr="00C83555">
        <w:rPr>
          <w:sz w:val="22"/>
          <w:szCs w:val="22"/>
        </w:rPr>
        <w:t xml:space="preserve"> Reporting to </w:t>
      </w:r>
      <w:r>
        <w:rPr>
          <w:sz w:val="22"/>
          <w:szCs w:val="22"/>
        </w:rPr>
        <w:t xml:space="preserve">the Dean of the College, the Department Chair is the administrative officer of the department and serves as a member of the Dean’s administrative team.  The Chair represents the department in all official communications and is responsible for the general direction of the work of the department; the quality and coordination of instruction; faculty workload assignment; the preparation of a budget and expenditure of departmental funds; the advisement of students who are majoring in programs within the department; annual faculty and staff evaluations; and the recommendation for appointment, promotion, tenure, dismissal, and salary increases for faculty and staff.  The position is a 12-month tenure-track or tenured appointment and requires a terminal degree.  The salary is competitive and commensurate with qualifications and experience.  </w:t>
      </w:r>
      <w:r w:rsidRPr="00C83555">
        <w:rPr>
          <w:sz w:val="22"/>
          <w:szCs w:val="22"/>
        </w:rPr>
        <w:t xml:space="preserve"> </w:t>
      </w:r>
    </w:p>
    <w:p w:rsidR="00967F30" w:rsidRPr="00C83555" w:rsidRDefault="00967F30" w:rsidP="00967F30">
      <w:pPr>
        <w:rPr>
          <w:sz w:val="22"/>
          <w:szCs w:val="22"/>
        </w:rPr>
      </w:pPr>
      <w:r w:rsidRPr="00C83555">
        <w:rPr>
          <w:sz w:val="22"/>
          <w:szCs w:val="22"/>
        </w:rPr>
        <w:t xml:space="preserve"> </w:t>
      </w:r>
    </w:p>
    <w:p w:rsidR="00967F30" w:rsidRPr="00C83555" w:rsidRDefault="00967F30" w:rsidP="00967F30">
      <w:pPr>
        <w:rPr>
          <w:sz w:val="22"/>
          <w:szCs w:val="22"/>
          <w:u w:val="single"/>
        </w:rPr>
      </w:pPr>
      <w:r w:rsidRPr="00C83555">
        <w:rPr>
          <w:sz w:val="22"/>
          <w:szCs w:val="22"/>
          <w:u w:val="single"/>
        </w:rPr>
        <w:t>Required Qualifications:</w:t>
      </w:r>
    </w:p>
    <w:p w:rsidR="00967F30" w:rsidRDefault="00967F30" w:rsidP="00967F30">
      <w:pPr>
        <w:pStyle w:val="Level1"/>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sz w:val="22"/>
          <w:szCs w:val="22"/>
        </w:rPr>
      </w:pPr>
      <w:r>
        <w:rPr>
          <w:sz w:val="22"/>
          <w:szCs w:val="22"/>
        </w:rPr>
        <w:t>Earned doctorate in one of the department content areas or a closely related field</w:t>
      </w:r>
    </w:p>
    <w:p w:rsidR="00967F30" w:rsidRDefault="00967F30" w:rsidP="00967F30">
      <w:pPr>
        <w:pStyle w:val="Level1"/>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sz w:val="22"/>
          <w:szCs w:val="22"/>
        </w:rPr>
      </w:pPr>
      <w:r>
        <w:rPr>
          <w:sz w:val="22"/>
          <w:szCs w:val="22"/>
        </w:rPr>
        <w:t>Established record of teaching, scholarship, and service meriting appointment at the rank of associate professor or professor*</w:t>
      </w:r>
    </w:p>
    <w:p w:rsidR="00967F30" w:rsidRDefault="00967F30" w:rsidP="00967F30">
      <w:pPr>
        <w:pStyle w:val="Level1"/>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sz w:val="22"/>
          <w:szCs w:val="22"/>
        </w:rPr>
      </w:pPr>
      <w:r>
        <w:rPr>
          <w:sz w:val="22"/>
          <w:szCs w:val="22"/>
        </w:rPr>
        <w:t>Minimum of 5 years full-time college/university teaching experience</w:t>
      </w:r>
    </w:p>
    <w:p w:rsidR="00967F30" w:rsidRDefault="00967F30" w:rsidP="00967F30">
      <w:pPr>
        <w:pStyle w:val="Level1"/>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sz w:val="22"/>
          <w:szCs w:val="22"/>
        </w:rPr>
      </w:pPr>
      <w:r>
        <w:rPr>
          <w:sz w:val="22"/>
          <w:szCs w:val="22"/>
        </w:rPr>
        <w:t>Strong organizational, leadership, interpersonal, and communication skills to work effectively with colleagues, both in and out of the department, as well as public schools and community agencies</w:t>
      </w:r>
    </w:p>
    <w:p w:rsidR="00967F30" w:rsidRDefault="00967F30" w:rsidP="00967F30">
      <w:pPr>
        <w:pStyle w:val="Level1"/>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sz w:val="22"/>
          <w:szCs w:val="22"/>
        </w:rPr>
      </w:pPr>
      <w:r>
        <w:rPr>
          <w:sz w:val="22"/>
          <w:szCs w:val="22"/>
        </w:rPr>
        <w:t>Ability to contribute to a positive work environment in the department, college and university</w:t>
      </w:r>
    </w:p>
    <w:p w:rsidR="00967F30" w:rsidRPr="00C83555" w:rsidRDefault="00967F30" w:rsidP="00967F30">
      <w:pPr>
        <w:pStyle w:val="Level1"/>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sz w:val="22"/>
          <w:szCs w:val="22"/>
        </w:rPr>
      </w:pPr>
      <w:r>
        <w:rPr>
          <w:sz w:val="22"/>
          <w:szCs w:val="22"/>
        </w:rPr>
        <w:t>Experience with, or interest in, working in diverse academic and professional communities</w:t>
      </w:r>
    </w:p>
    <w:p w:rsidR="00967F30" w:rsidRDefault="00967F30" w:rsidP="00967F30">
      <w:pPr>
        <w:pStyle w:val="Level1"/>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rsidR="00967F30" w:rsidRPr="00C83555" w:rsidRDefault="00967F30" w:rsidP="00967F30">
      <w:pPr>
        <w:pStyle w:val="Level1"/>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firstLine="720"/>
        <w:rPr>
          <w:sz w:val="22"/>
          <w:szCs w:val="22"/>
        </w:rPr>
      </w:pPr>
      <w:r>
        <w:rPr>
          <w:sz w:val="22"/>
          <w:szCs w:val="22"/>
        </w:rPr>
        <w:t>*For appointment at the associate professor rank, m</w:t>
      </w:r>
      <w:r w:rsidRPr="00C83555">
        <w:rPr>
          <w:sz w:val="22"/>
          <w:szCs w:val="22"/>
        </w:rPr>
        <w:t xml:space="preserve">inimum of 4 years </w:t>
      </w:r>
      <w:r>
        <w:rPr>
          <w:sz w:val="22"/>
          <w:szCs w:val="22"/>
        </w:rPr>
        <w:t xml:space="preserve">full-time college or </w:t>
      </w:r>
      <w:r w:rsidRPr="00C83555">
        <w:rPr>
          <w:sz w:val="22"/>
          <w:szCs w:val="22"/>
        </w:rPr>
        <w:t xml:space="preserve">university teaching experience </w:t>
      </w:r>
      <w:r>
        <w:rPr>
          <w:sz w:val="22"/>
          <w:szCs w:val="22"/>
        </w:rPr>
        <w:t>at the assistant professor rank</w:t>
      </w:r>
      <w:r w:rsidRPr="00C83555">
        <w:rPr>
          <w:sz w:val="22"/>
          <w:szCs w:val="22"/>
        </w:rPr>
        <w:t xml:space="preserve"> is required along with a strong record of research and service with publications and presen</w:t>
      </w:r>
      <w:r>
        <w:rPr>
          <w:sz w:val="22"/>
          <w:szCs w:val="22"/>
        </w:rPr>
        <w:t>tations in professional venues.</w:t>
      </w:r>
    </w:p>
    <w:p w:rsidR="00967F30" w:rsidRPr="00C83555" w:rsidRDefault="00967F30" w:rsidP="00967F30">
      <w:pPr>
        <w:pStyle w:val="Level1"/>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firstLine="720"/>
        <w:rPr>
          <w:sz w:val="22"/>
          <w:szCs w:val="22"/>
        </w:rPr>
      </w:pPr>
      <w:r>
        <w:rPr>
          <w:sz w:val="22"/>
          <w:szCs w:val="22"/>
        </w:rPr>
        <w:t>For appointment at the professor rank, m</w:t>
      </w:r>
      <w:r w:rsidRPr="00C83555">
        <w:rPr>
          <w:sz w:val="22"/>
          <w:szCs w:val="22"/>
        </w:rPr>
        <w:t xml:space="preserve">inimum of 5 years </w:t>
      </w:r>
      <w:r>
        <w:rPr>
          <w:sz w:val="22"/>
          <w:szCs w:val="22"/>
        </w:rPr>
        <w:t xml:space="preserve">full-time college or </w:t>
      </w:r>
      <w:r w:rsidRPr="00C83555">
        <w:rPr>
          <w:sz w:val="22"/>
          <w:szCs w:val="22"/>
        </w:rPr>
        <w:t xml:space="preserve">university teaching experience </w:t>
      </w:r>
      <w:r>
        <w:rPr>
          <w:sz w:val="22"/>
          <w:szCs w:val="22"/>
        </w:rPr>
        <w:t>at the associate professor rank</w:t>
      </w:r>
      <w:r w:rsidRPr="00C83555">
        <w:rPr>
          <w:sz w:val="22"/>
          <w:szCs w:val="22"/>
        </w:rPr>
        <w:t xml:space="preserve"> is req</w:t>
      </w:r>
      <w:r>
        <w:rPr>
          <w:sz w:val="22"/>
          <w:szCs w:val="22"/>
        </w:rPr>
        <w:t xml:space="preserve">uired </w:t>
      </w:r>
      <w:r w:rsidRPr="00C83555">
        <w:rPr>
          <w:sz w:val="22"/>
          <w:szCs w:val="22"/>
        </w:rPr>
        <w:t>along with a strong record of research and service with substantial publications and presen</w:t>
      </w:r>
      <w:r>
        <w:rPr>
          <w:sz w:val="22"/>
          <w:szCs w:val="22"/>
        </w:rPr>
        <w:t>tations in professional venues.</w:t>
      </w:r>
    </w:p>
    <w:p w:rsidR="00967F30" w:rsidRPr="00C83555" w:rsidRDefault="00967F30" w:rsidP="00967F30">
      <w:pPr>
        <w:rPr>
          <w:sz w:val="22"/>
          <w:szCs w:val="22"/>
          <w:u w:val="single"/>
        </w:rPr>
      </w:pPr>
    </w:p>
    <w:p w:rsidR="00967F30" w:rsidRPr="00C83555" w:rsidRDefault="00967F30" w:rsidP="00967F30">
      <w:pPr>
        <w:rPr>
          <w:sz w:val="22"/>
          <w:szCs w:val="22"/>
          <w:u w:val="single"/>
        </w:rPr>
      </w:pPr>
      <w:r w:rsidRPr="00C83555">
        <w:rPr>
          <w:sz w:val="22"/>
          <w:szCs w:val="22"/>
          <w:u w:val="single"/>
        </w:rPr>
        <w:t>Preferred Qualifications:</w:t>
      </w:r>
    </w:p>
    <w:p w:rsidR="00967F30" w:rsidRDefault="00967F30" w:rsidP="00967F30">
      <w:pPr>
        <w:pStyle w:val="Level1"/>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360"/>
        <w:rPr>
          <w:sz w:val="22"/>
          <w:szCs w:val="22"/>
        </w:rPr>
      </w:pPr>
      <w:r>
        <w:rPr>
          <w:sz w:val="22"/>
          <w:szCs w:val="22"/>
        </w:rPr>
        <w:t>Prior administrative experience</w:t>
      </w:r>
    </w:p>
    <w:p w:rsidR="00967F30" w:rsidRDefault="00967F30" w:rsidP="00967F30">
      <w:pPr>
        <w:pStyle w:val="Level1"/>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360"/>
        <w:rPr>
          <w:sz w:val="22"/>
          <w:szCs w:val="22"/>
        </w:rPr>
      </w:pPr>
      <w:r>
        <w:rPr>
          <w:sz w:val="22"/>
          <w:szCs w:val="22"/>
        </w:rPr>
        <w:t>Experience with program assessment and accreditation</w:t>
      </w:r>
    </w:p>
    <w:p w:rsidR="00967F30" w:rsidRDefault="00967F30" w:rsidP="00967F30">
      <w:pPr>
        <w:pStyle w:val="Level1"/>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360"/>
        <w:rPr>
          <w:sz w:val="22"/>
          <w:szCs w:val="22"/>
        </w:rPr>
      </w:pPr>
      <w:r>
        <w:rPr>
          <w:sz w:val="22"/>
          <w:szCs w:val="22"/>
        </w:rPr>
        <w:t>Experience with online education</w:t>
      </w:r>
    </w:p>
    <w:p w:rsidR="00967F30" w:rsidRDefault="00967F30" w:rsidP="00967F30">
      <w:pPr>
        <w:pStyle w:val="Level1"/>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360"/>
        <w:rPr>
          <w:sz w:val="22"/>
          <w:szCs w:val="22"/>
        </w:rPr>
      </w:pPr>
      <w:r>
        <w:rPr>
          <w:sz w:val="22"/>
          <w:szCs w:val="22"/>
        </w:rPr>
        <w:t>Experience in faculty governance, leadership, mentoring, and development</w:t>
      </w:r>
    </w:p>
    <w:p w:rsidR="00967F30" w:rsidRDefault="00967F30" w:rsidP="00967F30">
      <w:pPr>
        <w:pStyle w:val="Level1"/>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360"/>
        <w:rPr>
          <w:sz w:val="22"/>
          <w:szCs w:val="22"/>
        </w:rPr>
      </w:pPr>
      <w:r>
        <w:rPr>
          <w:sz w:val="22"/>
          <w:szCs w:val="22"/>
        </w:rPr>
        <w:t>Experience with securing external funding associated with a focused program of scholarship</w:t>
      </w:r>
    </w:p>
    <w:p w:rsidR="00967F30" w:rsidRDefault="00967F30" w:rsidP="00967F30">
      <w:pPr>
        <w:pStyle w:val="Level1"/>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360"/>
        <w:rPr>
          <w:sz w:val="22"/>
          <w:szCs w:val="22"/>
        </w:rPr>
      </w:pPr>
      <w:r>
        <w:rPr>
          <w:sz w:val="22"/>
          <w:szCs w:val="22"/>
        </w:rPr>
        <w:t>Experience with development activities</w:t>
      </w:r>
    </w:p>
    <w:p w:rsidR="00967F30" w:rsidRPr="00C83555" w:rsidRDefault="00967F30" w:rsidP="00967F30">
      <w:pPr>
        <w:pStyle w:val="Level1"/>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360"/>
        <w:rPr>
          <w:sz w:val="22"/>
          <w:szCs w:val="22"/>
        </w:rPr>
      </w:pPr>
      <w:r>
        <w:rPr>
          <w:sz w:val="22"/>
          <w:szCs w:val="22"/>
        </w:rPr>
        <w:t>Previous work in or with P-12 schools</w:t>
      </w:r>
    </w:p>
    <w:p w:rsidR="00967F30" w:rsidRPr="00C83555" w:rsidRDefault="00967F30" w:rsidP="00967F30">
      <w:pPr>
        <w:pStyle w:val="Level1"/>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360"/>
        <w:rPr>
          <w:sz w:val="22"/>
          <w:szCs w:val="22"/>
        </w:rPr>
      </w:pPr>
    </w:p>
    <w:p w:rsidR="00967F30" w:rsidRDefault="00967F30" w:rsidP="00967F30">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C83555">
        <w:rPr>
          <w:sz w:val="22"/>
          <w:szCs w:val="22"/>
        </w:rPr>
        <w:t>Screeni</w:t>
      </w:r>
      <w:r>
        <w:rPr>
          <w:sz w:val="22"/>
          <w:szCs w:val="22"/>
        </w:rPr>
        <w:t>ng of applications begins October 1</w:t>
      </w:r>
      <w:r w:rsidRPr="00C83555">
        <w:rPr>
          <w:sz w:val="22"/>
          <w:szCs w:val="22"/>
        </w:rPr>
        <w:t>,</w:t>
      </w:r>
      <w:r w:rsidR="00FD29BB">
        <w:rPr>
          <w:sz w:val="22"/>
          <w:szCs w:val="22"/>
        </w:rPr>
        <w:t xml:space="preserve"> 2012,</w:t>
      </w:r>
      <w:r w:rsidRPr="00C83555">
        <w:rPr>
          <w:sz w:val="22"/>
          <w:szCs w:val="22"/>
        </w:rPr>
        <w:t xml:space="preserve"> and continues until the position is filled. The </w:t>
      </w:r>
      <w:r w:rsidR="00FD29BB">
        <w:rPr>
          <w:sz w:val="22"/>
          <w:szCs w:val="22"/>
        </w:rPr>
        <w:t xml:space="preserve">preferred </w:t>
      </w:r>
      <w:r>
        <w:rPr>
          <w:sz w:val="22"/>
          <w:szCs w:val="22"/>
        </w:rPr>
        <w:t>position starting date is July 1, 2013</w:t>
      </w:r>
      <w:r w:rsidRPr="00C83555">
        <w:rPr>
          <w:sz w:val="22"/>
          <w:szCs w:val="22"/>
        </w:rPr>
        <w:t xml:space="preserve">. A complete application consists of a letter addressing the qualifications cited above; </w:t>
      </w:r>
      <w:proofErr w:type="gramStart"/>
      <w:r w:rsidRPr="00C83555">
        <w:rPr>
          <w:sz w:val="22"/>
          <w:szCs w:val="22"/>
        </w:rPr>
        <w:t xml:space="preserve">a </w:t>
      </w:r>
      <w:r w:rsidRPr="00C83555">
        <w:rPr>
          <w:iCs/>
          <w:sz w:val="22"/>
          <w:szCs w:val="22"/>
        </w:rPr>
        <w:t>curriculum</w:t>
      </w:r>
      <w:proofErr w:type="gramEnd"/>
      <w:r w:rsidRPr="00C83555">
        <w:rPr>
          <w:iCs/>
          <w:sz w:val="22"/>
          <w:szCs w:val="22"/>
        </w:rPr>
        <w:t xml:space="preserve"> vitae</w:t>
      </w:r>
      <w:r w:rsidRPr="00C83555">
        <w:rPr>
          <w:i/>
          <w:iCs/>
          <w:sz w:val="22"/>
          <w:szCs w:val="22"/>
        </w:rPr>
        <w:t>;</w:t>
      </w:r>
      <w:r w:rsidRPr="00C83555">
        <w:rPr>
          <w:sz w:val="22"/>
          <w:szCs w:val="22"/>
        </w:rPr>
        <w:t xml:space="preserve"> and the names, addresses, telephone numbers, and email addresses</w:t>
      </w:r>
      <w:r>
        <w:rPr>
          <w:sz w:val="22"/>
          <w:szCs w:val="22"/>
        </w:rPr>
        <w:t xml:space="preserve"> of at least three</w:t>
      </w:r>
      <w:r w:rsidRPr="00C83555">
        <w:rPr>
          <w:sz w:val="22"/>
          <w:szCs w:val="22"/>
        </w:rPr>
        <w:t xml:space="preserve"> professional references. Other documentation may be requested. </w:t>
      </w:r>
      <w:r>
        <w:rPr>
          <w:sz w:val="22"/>
          <w:szCs w:val="22"/>
        </w:rPr>
        <w:t xml:space="preserve">Only complete applications </w:t>
      </w:r>
      <w:r w:rsidRPr="00512CBD">
        <w:rPr>
          <w:sz w:val="22"/>
          <w:szCs w:val="22"/>
        </w:rPr>
        <w:t xml:space="preserve">and applications submitted electronically </w:t>
      </w:r>
      <w:r>
        <w:rPr>
          <w:sz w:val="22"/>
          <w:szCs w:val="22"/>
        </w:rPr>
        <w:t xml:space="preserve">will be considered. </w:t>
      </w:r>
      <w:r w:rsidRPr="00C83555">
        <w:rPr>
          <w:sz w:val="22"/>
          <w:szCs w:val="22"/>
        </w:rPr>
        <w:t>Finalists will be required to submit to a background investigation. Applications and nominations should be sent to:</w:t>
      </w:r>
    </w:p>
    <w:p w:rsidR="00967F30" w:rsidRPr="00C83555" w:rsidRDefault="00967F30" w:rsidP="00967F30">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rsidR="0072707D" w:rsidRDefault="00967F30" w:rsidP="00967F30">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sz w:val="22"/>
          <w:szCs w:val="22"/>
        </w:rPr>
      </w:pPr>
      <w:r>
        <w:rPr>
          <w:sz w:val="22"/>
          <w:szCs w:val="22"/>
        </w:rPr>
        <w:tab/>
      </w:r>
    </w:p>
    <w:p w:rsidR="0072707D" w:rsidRDefault="0072707D" w:rsidP="00967F30">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sz w:val="22"/>
          <w:szCs w:val="22"/>
        </w:rPr>
      </w:pPr>
    </w:p>
    <w:p w:rsidR="00967F30" w:rsidRPr="00C83555" w:rsidRDefault="0072707D" w:rsidP="00967F30">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sz w:val="22"/>
          <w:szCs w:val="22"/>
        </w:rPr>
      </w:pPr>
      <w:r>
        <w:rPr>
          <w:sz w:val="22"/>
          <w:szCs w:val="22"/>
        </w:rPr>
        <w:lastRenderedPageBreak/>
        <w:tab/>
      </w:r>
      <w:r w:rsidR="00967F30">
        <w:rPr>
          <w:sz w:val="22"/>
          <w:szCs w:val="22"/>
        </w:rPr>
        <w:t>Dr. Marlynn Griffin</w:t>
      </w:r>
      <w:r w:rsidR="00967F30" w:rsidRPr="00C83555">
        <w:rPr>
          <w:sz w:val="22"/>
          <w:szCs w:val="22"/>
        </w:rPr>
        <w:t>, Search Chair, Search #</w:t>
      </w:r>
      <w:bookmarkStart w:id="0" w:name="_GoBack"/>
      <w:r w:rsidR="00A36050">
        <w:rPr>
          <w:sz w:val="22"/>
          <w:szCs w:val="22"/>
        </w:rPr>
        <w:t>65405</w:t>
      </w:r>
      <w:bookmarkEnd w:id="0"/>
    </w:p>
    <w:p w:rsidR="00967F30" w:rsidRPr="00C83555" w:rsidRDefault="00967F30" w:rsidP="00967F30">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Pr>
          <w:sz w:val="22"/>
          <w:szCs w:val="22"/>
        </w:rPr>
        <w:tab/>
      </w:r>
      <w:r>
        <w:rPr>
          <w:sz w:val="22"/>
          <w:szCs w:val="22"/>
        </w:rPr>
        <w:tab/>
      </w:r>
      <w:r>
        <w:rPr>
          <w:sz w:val="22"/>
          <w:szCs w:val="22"/>
        </w:rPr>
        <w:tab/>
        <w:t>Department of Curriculum, Foundations, and Reading</w:t>
      </w:r>
    </w:p>
    <w:p w:rsidR="00967F30" w:rsidRPr="00C83555" w:rsidRDefault="00967F30" w:rsidP="00967F30">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C83555">
        <w:rPr>
          <w:sz w:val="22"/>
          <w:szCs w:val="22"/>
        </w:rPr>
        <w:tab/>
      </w:r>
      <w:r w:rsidRPr="00C83555">
        <w:rPr>
          <w:sz w:val="22"/>
          <w:szCs w:val="22"/>
        </w:rPr>
        <w:tab/>
      </w:r>
      <w:r w:rsidRPr="00C83555">
        <w:rPr>
          <w:sz w:val="22"/>
          <w:szCs w:val="22"/>
        </w:rPr>
        <w:tab/>
        <w:t>Georgia Southern University</w:t>
      </w:r>
    </w:p>
    <w:p w:rsidR="00967F30" w:rsidRPr="00C83555" w:rsidRDefault="00967F30" w:rsidP="00967F30">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sz w:val="22"/>
          <w:szCs w:val="22"/>
        </w:rPr>
      </w:pPr>
      <w:r>
        <w:rPr>
          <w:sz w:val="22"/>
          <w:szCs w:val="22"/>
        </w:rPr>
        <w:tab/>
      </w:r>
      <w:r>
        <w:rPr>
          <w:sz w:val="22"/>
          <w:szCs w:val="22"/>
        </w:rPr>
        <w:tab/>
      </w:r>
      <w:r>
        <w:rPr>
          <w:sz w:val="22"/>
          <w:szCs w:val="22"/>
        </w:rPr>
        <w:tab/>
        <w:t>P. O. Box 8144</w:t>
      </w:r>
    </w:p>
    <w:p w:rsidR="00967F30" w:rsidRPr="00C83555" w:rsidRDefault="00967F30" w:rsidP="00967F30">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Pr>
          <w:sz w:val="22"/>
          <w:szCs w:val="22"/>
        </w:rPr>
        <w:tab/>
      </w:r>
      <w:r>
        <w:rPr>
          <w:sz w:val="22"/>
          <w:szCs w:val="22"/>
        </w:rPr>
        <w:tab/>
      </w:r>
      <w:r>
        <w:rPr>
          <w:sz w:val="22"/>
          <w:szCs w:val="22"/>
        </w:rPr>
        <w:tab/>
        <w:t>Statesboro GA 30460-8144</w:t>
      </w:r>
    </w:p>
    <w:p w:rsidR="00967F30" w:rsidRPr="00C83555" w:rsidRDefault="00967F30" w:rsidP="00967F30">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sz w:val="22"/>
          <w:szCs w:val="22"/>
        </w:rPr>
      </w:pPr>
      <w:r w:rsidRPr="00C83555">
        <w:rPr>
          <w:sz w:val="22"/>
          <w:szCs w:val="22"/>
        </w:rPr>
        <w:tab/>
      </w:r>
      <w:r>
        <w:rPr>
          <w:sz w:val="22"/>
          <w:szCs w:val="22"/>
        </w:rPr>
        <w:t>Electronic mail: mgriffin@georgiasouthern.edu</w:t>
      </w:r>
    </w:p>
    <w:p w:rsidR="00967F30" w:rsidRPr="00C83555" w:rsidRDefault="00967F30" w:rsidP="00967F30">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sz w:val="22"/>
          <w:szCs w:val="22"/>
        </w:rPr>
      </w:pPr>
      <w:r w:rsidRPr="00C83555">
        <w:rPr>
          <w:sz w:val="22"/>
          <w:szCs w:val="22"/>
        </w:rPr>
        <w:tab/>
        <w:t>Teleph</w:t>
      </w:r>
      <w:r>
        <w:rPr>
          <w:sz w:val="22"/>
          <w:szCs w:val="22"/>
        </w:rPr>
        <w:t>one: 912-478-0695</w:t>
      </w:r>
    </w:p>
    <w:p w:rsidR="00967F30" w:rsidRPr="00C83555" w:rsidRDefault="00967F30" w:rsidP="00967F30">
      <w:pPr>
        <w:pStyle w:val="NormalWeb"/>
        <w:spacing w:before="0" w:beforeAutospacing="0" w:after="0" w:afterAutospacing="0"/>
        <w:rPr>
          <w:rStyle w:val="Strong"/>
          <w:rFonts w:ascii="Times New Roman" w:hAnsi="Times New Roman" w:cs="Times New Roman"/>
          <w:b w:val="0"/>
          <w:bCs w:val="0"/>
          <w:kern w:val="16"/>
          <w:sz w:val="22"/>
          <w:szCs w:val="22"/>
        </w:rPr>
      </w:pPr>
    </w:p>
    <w:p w:rsidR="00967F30" w:rsidRPr="00CF3F06" w:rsidRDefault="00967F30" w:rsidP="00967F30">
      <w:pPr>
        <w:pStyle w:val="NormalWeb"/>
        <w:spacing w:before="0" w:beforeAutospacing="0" w:after="0" w:afterAutospacing="0"/>
        <w:rPr>
          <w:rFonts w:ascii="Times New Roman" w:hAnsi="Times New Roman" w:cs="Times New Roman"/>
          <w:kern w:val="16"/>
          <w:sz w:val="22"/>
          <w:szCs w:val="22"/>
        </w:rPr>
      </w:pPr>
      <w:r w:rsidRPr="00CF3F06">
        <w:rPr>
          <w:rStyle w:val="Strong"/>
          <w:rFonts w:ascii="Times New Roman" w:hAnsi="Times New Roman" w:cs="Times New Roman"/>
          <w:b w:val="0"/>
          <w:bCs w:val="0"/>
          <w:kern w:val="16"/>
          <w:sz w:val="22"/>
          <w:szCs w:val="22"/>
        </w:rPr>
        <w:t>More information</w:t>
      </w:r>
      <w:r w:rsidRPr="00CF3F06">
        <w:rPr>
          <w:rFonts w:ascii="Times New Roman" w:hAnsi="Times New Roman" w:cs="Times New Roman"/>
          <w:kern w:val="16"/>
          <w:sz w:val="22"/>
          <w:szCs w:val="22"/>
        </w:rPr>
        <w:t xml:space="preserve"> about the institution is available through </w:t>
      </w:r>
      <w:hyperlink r:id="rId9" w:history="1">
        <w:r w:rsidRPr="00CF3F06">
          <w:rPr>
            <w:rStyle w:val="Hyperlink"/>
            <w:rFonts w:ascii="Times New Roman" w:hAnsi="Times New Roman" w:cs="Times New Roman"/>
            <w:kern w:val="16"/>
            <w:sz w:val="22"/>
            <w:szCs w:val="22"/>
          </w:rPr>
          <w:t>http://www.georgiasouthern.edu</w:t>
        </w:r>
      </w:hyperlink>
      <w:r w:rsidRPr="00CF3F06">
        <w:rPr>
          <w:rFonts w:ascii="Times New Roman" w:hAnsi="Times New Roman" w:cs="Times New Roman"/>
          <w:kern w:val="16"/>
          <w:sz w:val="22"/>
          <w:szCs w:val="22"/>
        </w:rPr>
        <w:t xml:space="preserve"> or </w:t>
      </w:r>
      <w:r>
        <w:rPr>
          <w:rFonts w:ascii="Times New Roman" w:hAnsi="Times New Roman" w:cs="Times New Roman"/>
          <w:color w:val="000080"/>
          <w:kern w:val="16"/>
          <w:sz w:val="22"/>
          <w:szCs w:val="22"/>
        </w:rPr>
        <w:t>http://coe.georgiasouthern.edu</w:t>
      </w:r>
      <w:r w:rsidRPr="00CF3F06">
        <w:rPr>
          <w:rFonts w:ascii="Times New Roman" w:hAnsi="Times New Roman" w:cs="Times New Roman"/>
          <w:color w:val="000080"/>
          <w:kern w:val="16"/>
          <w:sz w:val="22"/>
          <w:szCs w:val="22"/>
        </w:rPr>
        <w:t xml:space="preserve">. </w:t>
      </w:r>
      <w:r w:rsidRPr="00CF3F06">
        <w:rPr>
          <w:rFonts w:ascii="Times New Roman" w:hAnsi="Times New Roman" w:cs="Times New Roman"/>
          <w:sz w:val="22"/>
          <w:szCs w:val="22"/>
        </w:rPr>
        <w:t>Georgia Southern University seeks to recruit individuals who are committed to working in diverse academic and professional communities</w:t>
      </w:r>
      <w:r>
        <w:rPr>
          <w:rFonts w:ascii="Times New Roman" w:hAnsi="Times New Roman" w:cs="Times New Roman"/>
          <w:sz w:val="22"/>
          <w:szCs w:val="22"/>
        </w:rPr>
        <w:t xml:space="preserve"> and</w:t>
      </w:r>
      <w:r w:rsidRPr="00CF3F06">
        <w:rPr>
          <w:rFonts w:ascii="Times New Roman" w:hAnsi="Times New Roman" w:cs="Times New Roman"/>
          <w:color w:val="auto"/>
          <w:sz w:val="22"/>
          <w:szCs w:val="22"/>
        </w:rPr>
        <w:t xml:space="preserve"> who are committed to excellence in teaching, scholarship, and professional service within the University and beyond.</w:t>
      </w:r>
      <w:r w:rsidRPr="00CF3F06">
        <w:rPr>
          <w:rFonts w:ascii="Times New Roman" w:hAnsi="Times New Roman" w:cs="Times New Roman"/>
          <w:kern w:val="16"/>
          <w:sz w:val="22"/>
          <w:szCs w:val="22"/>
        </w:rPr>
        <w:t xml:space="preserve"> The names of applicants and nominees, vitae, and other non-evaluative information may be subject to public inspection under the Georgia Open Records Act. Georgia Southern University is an Affirmative Action, Equal Opportunity institution. Individuals who need reasonable accommodations under the ADA to participate in the search process should contact the </w:t>
      </w:r>
      <w:r>
        <w:rPr>
          <w:rFonts w:ascii="Times New Roman" w:hAnsi="Times New Roman" w:cs="Times New Roman"/>
          <w:kern w:val="16"/>
          <w:sz w:val="22"/>
          <w:szCs w:val="22"/>
        </w:rPr>
        <w:t>Vice</w:t>
      </w:r>
      <w:r w:rsidRPr="00CF3F06">
        <w:rPr>
          <w:rFonts w:ascii="Times New Roman" w:hAnsi="Times New Roman" w:cs="Times New Roman"/>
          <w:kern w:val="16"/>
          <w:sz w:val="22"/>
          <w:szCs w:val="22"/>
        </w:rPr>
        <w:t xml:space="preserve"> Provost.</w:t>
      </w:r>
    </w:p>
    <w:sectPr w:rsidR="00967F30" w:rsidRPr="00CF3F06" w:rsidSect="00967F30">
      <w:pgSz w:w="12240" w:h="15840"/>
      <w:pgMar w:top="1440" w:right="1440" w:bottom="1440" w:left="1440" w:header="720" w:footer="720"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99B" w:rsidRDefault="0062699B">
      <w:r>
        <w:separator/>
      </w:r>
    </w:p>
  </w:endnote>
  <w:endnote w:type="continuationSeparator" w:id="0">
    <w:p w:rsidR="0062699B" w:rsidRDefault="00626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99B" w:rsidRDefault="0062699B">
      <w:r>
        <w:separator/>
      </w:r>
    </w:p>
  </w:footnote>
  <w:footnote w:type="continuationSeparator" w:id="0">
    <w:p w:rsidR="0062699B" w:rsidRDefault="006269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9C04EDC8"/>
    <w:lvl w:ilvl="0">
      <w:numFmt w:val="decimal"/>
      <w:lvlText w:val="*"/>
      <w:lvlJc w:val="left"/>
    </w:lvl>
  </w:abstractNum>
  <w:abstractNum w:abstractNumId="1">
    <w:nsid w:val="4F0F31FB"/>
    <w:multiLevelType w:val="hybridMultilevel"/>
    <w:tmpl w:val="3ADC6C70"/>
    <w:lvl w:ilvl="0" w:tplc="8B3C1DE6">
      <w:start w:val="1"/>
      <w:numFmt w:val="bullet"/>
      <w:lvlText w:val=""/>
      <w:lvlJc w:val="left"/>
      <w:pPr>
        <w:tabs>
          <w:tab w:val="num" w:pos="720"/>
        </w:tabs>
        <w:ind w:left="720" w:hanging="360"/>
      </w:pPr>
      <w:rPr>
        <w:rFonts w:ascii="Symbol" w:hAnsi="Symbol" w:hint="default"/>
        <w:sz w:val="20"/>
      </w:rPr>
    </w:lvl>
    <w:lvl w:ilvl="1" w:tplc="67244C64" w:tentative="1">
      <w:start w:val="1"/>
      <w:numFmt w:val="bullet"/>
      <w:lvlText w:val="o"/>
      <w:lvlJc w:val="left"/>
      <w:pPr>
        <w:tabs>
          <w:tab w:val="num" w:pos="1440"/>
        </w:tabs>
        <w:ind w:left="1440" w:hanging="360"/>
      </w:pPr>
      <w:rPr>
        <w:rFonts w:ascii="Courier New" w:hAnsi="Courier New" w:hint="default"/>
        <w:sz w:val="20"/>
      </w:rPr>
    </w:lvl>
    <w:lvl w:ilvl="2" w:tplc="2ED27B5E" w:tentative="1">
      <w:start w:val="1"/>
      <w:numFmt w:val="bullet"/>
      <w:lvlText w:val=""/>
      <w:lvlJc w:val="left"/>
      <w:pPr>
        <w:tabs>
          <w:tab w:val="num" w:pos="2160"/>
        </w:tabs>
        <w:ind w:left="2160" w:hanging="360"/>
      </w:pPr>
      <w:rPr>
        <w:rFonts w:ascii="Wingdings" w:hAnsi="Wingdings" w:hint="default"/>
        <w:sz w:val="20"/>
      </w:rPr>
    </w:lvl>
    <w:lvl w:ilvl="3" w:tplc="5C5A3D94" w:tentative="1">
      <w:start w:val="1"/>
      <w:numFmt w:val="bullet"/>
      <w:lvlText w:val=""/>
      <w:lvlJc w:val="left"/>
      <w:pPr>
        <w:tabs>
          <w:tab w:val="num" w:pos="2880"/>
        </w:tabs>
        <w:ind w:left="2880" w:hanging="360"/>
      </w:pPr>
      <w:rPr>
        <w:rFonts w:ascii="Wingdings" w:hAnsi="Wingdings" w:hint="default"/>
        <w:sz w:val="20"/>
      </w:rPr>
    </w:lvl>
    <w:lvl w:ilvl="4" w:tplc="C8482CF4" w:tentative="1">
      <w:start w:val="1"/>
      <w:numFmt w:val="bullet"/>
      <w:lvlText w:val=""/>
      <w:lvlJc w:val="left"/>
      <w:pPr>
        <w:tabs>
          <w:tab w:val="num" w:pos="3600"/>
        </w:tabs>
        <w:ind w:left="3600" w:hanging="360"/>
      </w:pPr>
      <w:rPr>
        <w:rFonts w:ascii="Wingdings" w:hAnsi="Wingdings" w:hint="default"/>
        <w:sz w:val="20"/>
      </w:rPr>
    </w:lvl>
    <w:lvl w:ilvl="5" w:tplc="E3FCE09C" w:tentative="1">
      <w:start w:val="1"/>
      <w:numFmt w:val="bullet"/>
      <w:lvlText w:val=""/>
      <w:lvlJc w:val="left"/>
      <w:pPr>
        <w:tabs>
          <w:tab w:val="num" w:pos="4320"/>
        </w:tabs>
        <w:ind w:left="4320" w:hanging="360"/>
      </w:pPr>
      <w:rPr>
        <w:rFonts w:ascii="Wingdings" w:hAnsi="Wingdings" w:hint="default"/>
        <w:sz w:val="20"/>
      </w:rPr>
    </w:lvl>
    <w:lvl w:ilvl="6" w:tplc="7BCEFDF4" w:tentative="1">
      <w:start w:val="1"/>
      <w:numFmt w:val="bullet"/>
      <w:lvlText w:val=""/>
      <w:lvlJc w:val="left"/>
      <w:pPr>
        <w:tabs>
          <w:tab w:val="num" w:pos="5040"/>
        </w:tabs>
        <w:ind w:left="5040" w:hanging="360"/>
      </w:pPr>
      <w:rPr>
        <w:rFonts w:ascii="Wingdings" w:hAnsi="Wingdings" w:hint="default"/>
        <w:sz w:val="20"/>
      </w:rPr>
    </w:lvl>
    <w:lvl w:ilvl="7" w:tplc="2766DE4E" w:tentative="1">
      <w:start w:val="1"/>
      <w:numFmt w:val="bullet"/>
      <w:lvlText w:val=""/>
      <w:lvlJc w:val="left"/>
      <w:pPr>
        <w:tabs>
          <w:tab w:val="num" w:pos="5760"/>
        </w:tabs>
        <w:ind w:left="5760" w:hanging="360"/>
      </w:pPr>
      <w:rPr>
        <w:rFonts w:ascii="Wingdings" w:hAnsi="Wingdings" w:hint="default"/>
        <w:sz w:val="20"/>
      </w:rPr>
    </w:lvl>
    <w:lvl w:ilvl="8" w:tplc="10780B36"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lvlOverride w:ilvl="0">
      <w:lvl w:ilvl="0">
        <w:start w:val="1"/>
        <w:numFmt w:val="bullet"/>
        <w:lvlText w:val="•"/>
        <w:legacy w:legacy="1" w:legacySpace="0" w:legacyIndent="1"/>
        <w:lvlJc w:val="left"/>
        <w:pPr>
          <w:ind w:left="1" w:hanging="1"/>
        </w:pPr>
        <w:rPr>
          <w:rFonts w:ascii="Times New Roman" w:hAnsi="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73A8"/>
    <w:rsid w:val="0062699B"/>
    <w:rsid w:val="0072707D"/>
    <w:rsid w:val="009173A8"/>
    <w:rsid w:val="00967F30"/>
    <w:rsid w:val="00A36050"/>
    <w:rsid w:val="00BB6726"/>
    <w:rsid w:val="00C92AE6"/>
    <w:rsid w:val="00D314AF"/>
    <w:rsid w:val="00DC51DD"/>
    <w:rsid w:val="00FD2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character" w:styleId="Strong">
    <w:name w:val="Strong"/>
    <w:qFormat/>
    <w:rPr>
      <w:b/>
      <w:bCs/>
    </w:rPr>
  </w:style>
  <w:style w:type="paragraph" w:customStyle="1" w:styleId="Level1">
    <w:name w:val="Level 1"/>
    <w:pPr>
      <w:autoSpaceDE w:val="0"/>
      <w:autoSpaceDN w:val="0"/>
      <w:adjustRightInd w:val="0"/>
      <w:ind w:left="720"/>
    </w:pPr>
    <w:rPr>
      <w:sz w:val="24"/>
      <w:szCs w:val="24"/>
    </w:rPr>
  </w:style>
  <w:style w:type="character" w:customStyle="1" w:styleId="SYSHYPERTEXT">
    <w:name w:val="SYS_HYPERTEXT"/>
    <w:rPr>
      <w:color w:val="0000FF"/>
      <w:u w:val="single"/>
    </w:rPr>
  </w:style>
  <w:style w:type="character" w:styleId="FollowedHyperlink">
    <w:name w:val="FollowedHyperlink"/>
    <w:rPr>
      <w:color w:val="800080"/>
      <w:u w:val="single"/>
    </w:rPr>
  </w:style>
  <w:style w:type="paragraph" w:styleId="BalloonText">
    <w:name w:val="Balloon Text"/>
    <w:basedOn w:val="Normal"/>
    <w:semiHidden/>
    <w:rsid w:val="00A57069"/>
    <w:rPr>
      <w:rFonts w:ascii="Tahoma" w:hAnsi="Tahoma" w:cs="Tahoma"/>
      <w:sz w:val="16"/>
      <w:szCs w:val="16"/>
    </w:rPr>
  </w:style>
  <w:style w:type="paragraph" w:styleId="Header">
    <w:name w:val="header"/>
    <w:basedOn w:val="Normal"/>
    <w:rsid w:val="0097412F"/>
    <w:pPr>
      <w:tabs>
        <w:tab w:val="center" w:pos="4320"/>
        <w:tab w:val="right" w:pos="8640"/>
      </w:tabs>
    </w:pPr>
  </w:style>
  <w:style w:type="paragraph" w:styleId="Footer">
    <w:name w:val="footer"/>
    <w:basedOn w:val="Normal"/>
    <w:rsid w:val="0097412F"/>
    <w:pPr>
      <w:tabs>
        <w:tab w:val="center" w:pos="4320"/>
        <w:tab w:val="right" w:pos="8640"/>
      </w:tabs>
    </w:pPr>
  </w:style>
  <w:style w:type="paragraph" w:customStyle="1" w:styleId="Default">
    <w:name w:val="Default"/>
    <w:rsid w:val="000D6EF5"/>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character" w:styleId="Strong">
    <w:name w:val="Strong"/>
    <w:qFormat/>
    <w:rPr>
      <w:b/>
      <w:bCs/>
    </w:rPr>
  </w:style>
  <w:style w:type="paragraph" w:customStyle="1" w:styleId="Level1">
    <w:name w:val="Level 1"/>
    <w:pPr>
      <w:autoSpaceDE w:val="0"/>
      <w:autoSpaceDN w:val="0"/>
      <w:adjustRightInd w:val="0"/>
      <w:ind w:left="720"/>
    </w:pPr>
    <w:rPr>
      <w:sz w:val="24"/>
      <w:szCs w:val="24"/>
    </w:rPr>
  </w:style>
  <w:style w:type="character" w:customStyle="1" w:styleId="SYSHYPERTEXT">
    <w:name w:val="SYS_HYPERTEXT"/>
    <w:rPr>
      <w:color w:val="0000FF"/>
      <w:u w:val="single"/>
    </w:rPr>
  </w:style>
  <w:style w:type="character" w:styleId="FollowedHyperlink">
    <w:name w:val="FollowedHyperlink"/>
    <w:rPr>
      <w:color w:val="800080"/>
      <w:u w:val="single"/>
    </w:rPr>
  </w:style>
  <w:style w:type="paragraph" w:styleId="BalloonText">
    <w:name w:val="Balloon Text"/>
    <w:basedOn w:val="Normal"/>
    <w:semiHidden/>
    <w:rsid w:val="00A57069"/>
    <w:rPr>
      <w:rFonts w:ascii="Tahoma" w:hAnsi="Tahoma" w:cs="Tahoma"/>
      <w:sz w:val="16"/>
      <w:szCs w:val="16"/>
    </w:rPr>
  </w:style>
  <w:style w:type="paragraph" w:styleId="Header">
    <w:name w:val="header"/>
    <w:basedOn w:val="Normal"/>
    <w:rsid w:val="0097412F"/>
    <w:pPr>
      <w:tabs>
        <w:tab w:val="center" w:pos="4320"/>
        <w:tab w:val="right" w:pos="8640"/>
      </w:tabs>
    </w:pPr>
  </w:style>
  <w:style w:type="paragraph" w:styleId="Footer">
    <w:name w:val="footer"/>
    <w:basedOn w:val="Normal"/>
    <w:rsid w:val="0097412F"/>
    <w:pPr>
      <w:tabs>
        <w:tab w:val="center" w:pos="4320"/>
        <w:tab w:val="right" w:pos="8640"/>
      </w:tabs>
    </w:pPr>
  </w:style>
  <w:style w:type="paragraph" w:customStyle="1" w:styleId="Default">
    <w:name w:val="Default"/>
    <w:rsid w:val="000D6EF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eorgiasouthern.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1247</Words>
  <Characters>7110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Georgia Southern University</Company>
  <LinksUpToDate>false</LinksUpToDate>
  <CharactersWithSpaces>8341</CharactersWithSpaces>
  <SharedDoc>false</SharedDoc>
  <HLinks>
    <vt:vector size="6" baseType="variant">
      <vt:variant>
        <vt:i4>2424919</vt:i4>
      </vt:variant>
      <vt:variant>
        <vt:i4>2</vt:i4>
      </vt:variant>
      <vt:variant>
        <vt:i4>0</vt:i4>
      </vt:variant>
      <vt:variant>
        <vt:i4>5</vt:i4>
      </vt:variant>
      <vt:variant>
        <vt:lpwstr>http://www.georgiasouthern.edu/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vrichards</dc:creator>
  <cp:lastModifiedBy>Griffin,Marlynn M.</cp:lastModifiedBy>
  <cp:revision>2</cp:revision>
  <cp:lastPrinted>2012-07-25T12:01:00Z</cp:lastPrinted>
  <dcterms:created xsi:type="dcterms:W3CDTF">2012-08-28T19:37:00Z</dcterms:created>
  <dcterms:modified xsi:type="dcterms:W3CDTF">2012-08-28T19:37:00Z</dcterms:modified>
</cp:coreProperties>
</file>